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    </w:t>
        <w:tab/>
        <w:tab/>
        <w:tab/>
        <w:tab/>
        <w:tab/>
      </w:r>
    </w:p>
    <w:p w:rsidR="00000000" w:rsidDel="00000000" w:rsidP="00000000" w:rsidRDefault="00000000" w:rsidRPr="00000000" w14:paraId="00000002">
      <w:pPr>
        <w:widowControl w:val="0"/>
        <w:ind w:right="378" w:firstLine="0"/>
        <w:jc w:val="both"/>
        <w:rPr>
          <w:rFonts w:ascii="Bookman Old Style" w:cs="Bookman Old Style" w:eastAsia="Bookman Old Style" w:hAnsi="Bookman Old Style"/>
          <w:b w:val="1"/>
          <w:bCs w:val="1"/>
          <w:color w:val="212121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212121"/>
          <w:sz w:val="22"/>
          <w:szCs w:val="22"/>
          <w:rtl w:val="0"/>
        </w:rPr>
        <w:t xml:space="preserve">1 cuaderno college de 40 hojas cuadro grande con forro transparente para comunicaciones.</w:t>
      </w:r>
    </w:p>
    <w:p w:rsidR="00000000" w:rsidDel="00000000" w:rsidP="00000000" w:rsidRDefault="00000000" w:rsidRPr="00000000" w14:paraId="00000003">
      <w:pPr>
        <w:widowControl w:val="0"/>
        <w:ind w:right="378" w:firstLine="0"/>
        <w:jc w:val="both"/>
        <w:rPr>
          <w:rFonts w:ascii="Bookman Old Style" w:cs="Bookman Old Style" w:eastAsia="Bookman Old Style" w:hAnsi="Bookman Old Style"/>
          <w:b w:val="1"/>
          <w:bCs w:val="1"/>
          <w:color w:val="21212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Bookman Old Style" w:cs="Bookman Old Style" w:eastAsia="Bookman Old Style" w:hAnsi="Bookman Old Style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2"/>
          <w:szCs w:val="22"/>
          <w:rtl w:val="0"/>
        </w:rPr>
        <w:t xml:space="preserve">LENGUAJE Y COMUNICACIÓN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Cuaderno universitario  de cuadros de 100 hojas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Cuaderno universitario  de cuadros de 100 hojas para Taller C. Lectora</w:t>
      </w:r>
    </w:p>
    <w:p w:rsidR="00000000" w:rsidDel="00000000" w:rsidP="00000000" w:rsidRDefault="00000000" w:rsidRPr="00000000" w14:paraId="00000007">
      <w:p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Bookman Old Style" w:cs="Bookman Old Style" w:eastAsia="Bookman Old Style" w:hAnsi="Bookman Old Style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INGLÉS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Cuaderno cuadriculado 100 hojas universitario</w:t>
      </w:r>
    </w:p>
    <w:p w:rsidR="00000000" w:rsidDel="00000000" w:rsidP="00000000" w:rsidRDefault="00000000" w:rsidRPr="00000000" w14:paraId="0000000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Bookman Old Style" w:cs="Bookman Old Style" w:eastAsia="Bookman Old Style" w:hAnsi="Bookman Old Style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Bookman Old Style" w:cs="Bookman Old Style" w:eastAsia="Bookman Old Style" w:hAnsi="Bookman Old Style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MATEMÁTICAS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Cuaderno universitario de cuadro grande de 100 hojas.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Cuadernillo hojas cuadriculadas prepicadas.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Calculadora científica.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Útiles de Geometría (regla. Transportador, compás, etc)</w:t>
      </w:r>
    </w:p>
    <w:p w:rsidR="00000000" w:rsidDel="00000000" w:rsidP="00000000" w:rsidRDefault="00000000" w:rsidRPr="00000000" w14:paraId="00000010">
      <w:pPr>
        <w:ind w:left="0" w:hanging="2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Bookman Old Style" w:cs="Bookman Old Style" w:eastAsia="Bookman Old Style" w:hAnsi="Bookman Old Style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2"/>
          <w:szCs w:val="22"/>
          <w:rtl w:val="0"/>
        </w:rPr>
        <w:t xml:space="preserve">HISTORIA, GEOGRAFÍA y C. SOCIALES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Cuaderno universitario de cuadro de 100 hojas por semestre)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Lápices de colores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Papel diamante (en bolsa tamaño oficio)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Tijeras y pegamento</w:t>
      </w:r>
    </w:p>
    <w:p w:rsidR="00000000" w:rsidDel="00000000" w:rsidP="00000000" w:rsidRDefault="00000000" w:rsidRPr="00000000" w14:paraId="00000016">
      <w:p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CS. NATURALES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Cuaderno universitario de cuadro de 100 hojas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0" w:hanging="2"/>
        <w:rPr>
          <w:rFonts w:ascii="Bookman Old Style" w:cs="Bookman Old Style" w:eastAsia="Bookman Old Style" w:hAnsi="Bookman Old Style"/>
          <w:b w:val="1"/>
          <w:bCs w:val="1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1 delantal blanco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Bookman Old Style" w:cs="Bookman Old Style" w:eastAsia="Bookman Old Style" w:hAnsi="Bookman Old Style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2"/>
          <w:szCs w:val="22"/>
          <w:rtl w:val="0"/>
        </w:rPr>
        <w:t xml:space="preserve">RELIGIÓN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Cuaderno cuadriculado 80 hojas</w:t>
      </w:r>
    </w:p>
    <w:p w:rsidR="00000000" w:rsidDel="00000000" w:rsidP="00000000" w:rsidRDefault="00000000" w:rsidRPr="00000000" w14:paraId="0000001D">
      <w:p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Bookman Old Style" w:cs="Bookman Old Style" w:eastAsia="Bookman Old Style" w:hAnsi="Bookman Old Style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ARTES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Cuaderno universitario croquis 100 hojas 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0" w:hanging="2"/>
        <w:rPr>
          <w:rFonts w:ascii="Bookman Old Style" w:cs="Bookman Old Style" w:eastAsia="Bookman Old Style" w:hAnsi="Bookman Old Style"/>
          <w:b w:val="1"/>
          <w:bCs w:val="1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1 delantal blanco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adhesivo en barra de 36 grs. 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tijera escolar  punta roma (*)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sacapuntas con depósito  (*)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plumón de pizarra para utilizar en clase de Lenguaje y Matemáticas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Plumón Permanente para trabajos en clases (Afiches, Papelógrafos, etc)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ind w:left="360" w:hanging="360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Block médium° 99 1/8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(por semestre)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ind w:left="360" w:hanging="360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set acrílicos 12 o más colores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(por semestre)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Los materiales de Artes se solicitarán de acuerdo al Plan de trabajo del Profesor de Asignatura.</w:t>
      </w:r>
    </w:p>
    <w:p w:rsidR="00000000" w:rsidDel="00000000" w:rsidP="00000000" w:rsidRDefault="00000000" w:rsidRPr="00000000" w14:paraId="00000029">
      <w:p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TECNOLOGÍA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cuaderno de cuadros  de 100 hojas para Ed. Tecnológica</w:t>
      </w:r>
    </w:p>
    <w:p w:rsidR="00000000" w:rsidDel="00000000" w:rsidP="00000000" w:rsidRDefault="00000000" w:rsidRPr="00000000" w14:paraId="0000002C">
      <w:p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Bookman Old Style" w:cs="Bookman Old Style" w:eastAsia="Bookman Old Style" w:hAnsi="Bookman Old Styl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Bookman Old Style" w:cs="Bookman Old Style" w:eastAsia="Bookman Old Style" w:hAnsi="Bookman Old Style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MÚSICA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Un cuaderno de cuadros de 100 hojas.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Un cuaderno de pauta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instrumento musical</w:t>
      </w:r>
    </w:p>
    <w:p w:rsidR="00000000" w:rsidDel="00000000" w:rsidP="00000000" w:rsidRDefault="00000000" w:rsidRPr="00000000" w14:paraId="00000033">
      <w:p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ORIENTACIÓN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Cuaderno de 60 hojas.</w:t>
      </w:r>
    </w:p>
    <w:p w:rsidR="00000000" w:rsidDel="00000000" w:rsidP="00000000" w:rsidRDefault="00000000" w:rsidRPr="00000000" w14:paraId="00000037">
      <w:p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Bookman Old Style" w:cs="Bookman Old Style" w:eastAsia="Bookman Old Style" w:hAnsi="Bookman Old Style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EDUCACIÓN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Buzo del colegio y Polera de cambio de acuerdo al Manual de Convivencia Interna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Bolso o estuche con útiles de aseo personal para la clase de Educación Física (toalla, jabón, desodorante, etc.)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1 polera de cambio azul o blanca (según manual de convivencia)</w:t>
      </w:r>
    </w:p>
    <w:p w:rsidR="00000000" w:rsidDel="00000000" w:rsidP="00000000" w:rsidRDefault="00000000" w:rsidRPr="00000000" w14:paraId="0000003C">
      <w:pPr>
        <w:spacing w:line="360" w:lineRule="auto"/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LIBRETA DE COMUNICACIONES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222222"/>
          <w:sz w:val="22"/>
          <w:szCs w:val="22"/>
          <w:highlight w:val="white"/>
          <w:rtl w:val="0"/>
        </w:rPr>
        <w:t xml:space="preserve">1 cuaderno de 100 hojas azul con forro transparente para comunicaciones.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UNIFORME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rtl w:val="0"/>
        </w:rPr>
        <w:t xml:space="preserve">Uniforme Completo de acuerdo al Manual de Convivencia.</w:t>
      </w:r>
    </w:p>
    <w:p w:rsidR="00000000" w:rsidDel="00000000" w:rsidP="00000000" w:rsidRDefault="00000000" w:rsidRPr="00000000" w14:paraId="00000043">
      <w:pPr>
        <w:spacing w:line="360" w:lineRule="auto"/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ind w:left="0" w:hanging="2"/>
        <w:rPr>
          <w:rFonts w:ascii="Bookman Old Style" w:cs="Bookman Old Style" w:eastAsia="Bookman Old Style" w:hAnsi="Bookman Old Style"/>
          <w:b w:val="1"/>
          <w:bCs w:val="1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rtl w:val="0"/>
        </w:rPr>
        <w:t xml:space="preserve">*Uso de delantal blanco para laboratorio de ciencias y clase de Artes Visuales es obligatorio</w:t>
      </w:r>
    </w:p>
    <w:p w:rsidR="00000000" w:rsidDel="00000000" w:rsidP="00000000" w:rsidRDefault="00000000" w:rsidRPr="00000000" w14:paraId="00000045">
      <w:p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-68260</wp:posOffset>
                </wp:positionH>
                <wp:positionV relativeFrom="paragraph">
                  <wp:posOffset>96838</wp:posOffset>
                </wp:positionV>
                <wp:extent cx="3116580" cy="161915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33150" y="2922150"/>
                          <a:ext cx="3425700" cy="171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-Los textos escolares de deben plastificar y forrar una vez entregados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-Los útiles escolares, el uniforme oficial y de Educación Física  deben estar marcados con el nombre del alumno.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--El uniforme es obligatorio según lo indica el Manual de Convivencia Interna.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-68260</wp:posOffset>
                </wp:positionH>
                <wp:positionV relativeFrom="paragraph">
                  <wp:posOffset>96838</wp:posOffset>
                </wp:positionV>
                <wp:extent cx="3116580" cy="1619155"/>
                <wp:effectExtent b="0" l="0" r="0" t="0"/>
                <wp:wrapNone/>
                <wp:docPr id="2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6580" cy="1619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ind w:left="0" w:hanging="2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20163" w:w="12242" w:orient="portrait"/>
      <w:pgMar w:bottom="1077" w:top="902" w:left="1083" w:right="964" w:header="709" w:footer="1032"/>
      <w:pgNumType w:start="1"/>
      <w:cols w:equalWidth="0" w:num="2">
        <w:col w:space="709" w:w="4743.000000000001"/>
        <w:col w:space="0" w:w="4743.00000000000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Jim Nightshade">
    <w:embedRegular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Jim Nightshade" w:cs="Jim Nightshade" w:eastAsia="Jim Nightshade" w:hAnsi="Jim Nightshade"/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33340</wp:posOffset>
              </wp:positionH>
              <wp:positionV relativeFrom="paragraph">
                <wp:posOffset>-4761</wp:posOffset>
              </wp:positionV>
              <wp:extent cx="6191250" cy="50800"/>
              <wp:effectExtent b="0" l="0" r="0" t="0"/>
              <wp:wrapSquare wrapText="bothSides" distB="0" distT="0" distL="114300" distR="114300"/>
              <wp:docPr id="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69425" y="378000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33340</wp:posOffset>
              </wp:positionH>
              <wp:positionV relativeFrom="paragraph">
                <wp:posOffset>-4761</wp:posOffset>
              </wp:positionV>
              <wp:extent cx="6191250" cy="50800"/>
              <wp:effectExtent b="0" l="0" r="0" t="0"/>
              <wp:wrapSquare wrapText="bothSides" distB="0" distT="0" distL="114300" distR="114300"/>
              <wp:docPr id="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91250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Arial Narrow" w:cs="Arial Narrow" w:eastAsia="Arial Narrow" w:hAnsi="Arial Narrow"/>
        <w:color w:val="000000"/>
      </w:rPr>
    </w:pPr>
    <w:r w:rsidDel="00000000" w:rsidR="00000000" w:rsidRPr="00000000">
      <w:rPr>
        <w:rFonts w:ascii="Jim Nightshade" w:cs="Jim Nightshade" w:eastAsia="Jim Nightshade" w:hAnsi="Jim Nightshade"/>
        <w:b w:val="1"/>
        <w:bCs w:val="1"/>
        <w:color w:val="000000"/>
        <w:sz w:val="16"/>
        <w:szCs w:val="16"/>
        <w:rtl w:val="0"/>
      </w:rPr>
      <w:t xml:space="preserve">    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000000"/>
        <w:sz w:val="16"/>
        <w:szCs w:val="16"/>
        <w:rtl w:val="0"/>
      </w:rPr>
      <w:t xml:space="preserve">Chacabuco </w:t>
    </w:r>
    <w:r w:rsidDel="00000000" w:rsidR="00000000" w:rsidRPr="00000000">
      <w:rPr>
        <w:rFonts w:ascii="Arial Narrow" w:cs="Arial Narrow" w:eastAsia="Arial Narrow" w:hAnsi="Arial Narrow"/>
        <w:color w:val="000000"/>
        <w:sz w:val="16"/>
        <w:szCs w:val="16"/>
        <w:rtl w:val="0"/>
      </w:rPr>
      <w:t xml:space="preserve">#660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000000"/>
        <w:sz w:val="16"/>
        <w:szCs w:val="16"/>
        <w:rtl w:val="0"/>
      </w:rPr>
      <w:t xml:space="preserve">Quillota, Fono –</w:t>
    </w:r>
    <w:r w:rsidDel="00000000" w:rsidR="00000000" w:rsidRPr="00000000">
      <w:rPr>
        <w:rFonts w:ascii="Arial Narrow" w:cs="Arial Narrow" w:eastAsia="Arial Narrow" w:hAnsi="Arial Narrow"/>
        <w:b w:val="1"/>
        <w:bCs w:val="1"/>
        <w:sz w:val="16"/>
        <w:szCs w:val="16"/>
        <w:rtl w:val="0"/>
      </w:rPr>
      <w:t xml:space="preserve"> (+56) 93185275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000000"/>
        <w:sz w:val="16"/>
        <w:szCs w:val="16"/>
        <w:rtl w:val="0"/>
      </w:rPr>
      <w:t xml:space="preserve">, email: </w:t>
    </w:r>
    <w:hyperlink r:id="rId2"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155cc"/>
          <w:sz w:val="16"/>
          <w:szCs w:val="16"/>
          <w:u w:val="single"/>
          <w:rtl w:val="0"/>
        </w:rPr>
        <w:t xml:space="preserve">ccristianoquillota@gmail.com</w:t>
      </w:r>
    </w:hyperlink>
    <w:r w:rsidDel="00000000" w:rsidR="00000000" w:rsidRPr="00000000">
      <w:rPr>
        <w:rFonts w:ascii="Arial Narrow" w:cs="Arial Narrow" w:eastAsia="Arial Narrow" w:hAnsi="Arial Narrow"/>
        <w:b w:val="1"/>
        <w:bCs w:val="1"/>
        <w:color w:val="000000"/>
        <w:sz w:val="16"/>
        <w:szCs w:val="16"/>
        <w:rtl w:val="0"/>
      </w:rPr>
      <w:t xml:space="preserve">   Página web:  </w:t>
    </w:r>
    <w:hyperlink r:id="rId3"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155cc"/>
          <w:sz w:val="16"/>
          <w:szCs w:val="16"/>
          <w:u w:val="single"/>
          <w:rtl w:val="0"/>
        </w:rPr>
        <w:t xml:space="preserve">www.colegiocristianoquillota.com</w:t>
      </w:r>
    </w:hyperlink>
    <w:r w:rsidDel="00000000" w:rsidR="00000000" w:rsidRPr="00000000">
      <w:rPr>
        <w:rFonts w:ascii="Arial Narrow" w:cs="Arial Narrow" w:eastAsia="Arial Narrow" w:hAnsi="Arial Narrow"/>
        <w:b w:val="1"/>
        <w:bCs w:val="1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652"/>
        <w:tab w:val="right" w:leader="none" w:pos="88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6"/>
        <w:szCs w:val="16"/>
      </w:rPr>
      <w:drawing>
        <wp:inline distB="114300" distT="114300" distL="114300" distR="114300">
          <wp:extent cx="983933" cy="395064"/>
          <wp:effectExtent b="0" l="0" r="0" t="0"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3933" cy="3950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</w:t>
      <w:tab/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22"/>
        <w:szCs w:val="22"/>
        <w:rtl w:val="0"/>
      </w:rPr>
      <w:t xml:space="preserve">LISTA DE ÚTILES 7° Y 8° BÁSICO AÑO 2026</w:t>
    </w:r>
    <w:r w:rsidDel="00000000" w:rsidR="00000000" w:rsidRPr="00000000">
      <w:rPr>
        <w:color w:val="000000"/>
        <w:rtl w:val="0"/>
      </w:rPr>
      <w:t xml:space="preserve">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u w:val="single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lang w:eastAsia="es-CL" w:val="es-C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Script MT Bold" w:hAnsi="Script MT Bold"/>
      <w:sz w:val="20"/>
    </w:rPr>
  </w:style>
  <w:style w:type="paragraph" w:styleId="Textodeglobo">
    <w:name w:val="Balloon Text"/>
    <w:basedOn w:val="Normal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ireccinHTML">
    <w:name w:val="HTML Address"/>
    <w:basedOn w:val="Normal"/>
    <w:rPr>
      <w:i w:val="1"/>
      <w:iCs w:val="1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</w:rPr>
  </w:style>
  <w:style w:type="paragraph" w:styleId="NormalWeb">
    <w:name w:val="Normal (Web)"/>
    <w:basedOn w:val="Normal"/>
    <w:pPr>
      <w:spacing w:after="100" w:afterAutospacing="1" w:before="100" w:beforeAutospacing="1"/>
    </w:pPr>
  </w:style>
  <w:style w:type="character" w:styleId="apple-style-span" w:customStyle="1">
    <w:name w:val="apple-style-span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Ttulo1Car" w:customStyle="1">
    <w:name w:val="Título 1 Car"/>
    <w:rPr>
      <w:rFonts w:ascii="Arial" w:cs="Arial" w:hAnsi="Arial"/>
      <w:b w:val="1"/>
      <w:w w:val="100"/>
      <w:position w:val="-1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JimNightshade-regular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ccristianoquillota@gmail.com" TargetMode="External"/><Relationship Id="rId3" Type="http://schemas.openxmlformats.org/officeDocument/2006/relationships/hyperlink" Target="http://www.colegiocristianoquillota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2J9y2OsFTMTojBwb0DzbkTufCQ==">CgMxLjAyCGguZ2pkZ3hzOAByITFnaDhMWDNnQThHMEpVRjBxWGFPSzBBc2NUTUYwa3JYUQ==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2017-11-07T14:55:00Z</dcterms:created>
  <dc:creator>Enlaces</dc:creator>
</cp:coreProperties>
</file>