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rtl w:val="0"/>
        </w:rPr>
        <w:t xml:space="preserve">LISTA DE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ÚTILES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rtl w:val="0"/>
        </w:rPr>
        <w:t xml:space="preserve"> 8°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rtl w:val="0"/>
        </w:rPr>
        <w:t xml:space="preserve">TEMPORADA ESCOLAR 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LENGUAJE Y COMUNICACIÓN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 de cuadros de 100 hojas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 de cuadros de 100 hojas para Taller de C. Lectora</w:t>
      </w:r>
    </w:p>
    <w:p w:rsidR="00000000" w:rsidDel="00000000" w:rsidP="00000000" w:rsidRDefault="00000000" w:rsidRPr="00000000" w14:paraId="00000009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cuadriculado 100 hojas universitario.</w:t>
      </w:r>
    </w:p>
    <w:p w:rsidR="00000000" w:rsidDel="00000000" w:rsidP="00000000" w:rsidRDefault="00000000" w:rsidRPr="00000000" w14:paraId="0000000D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de cuadro grande de 100 hojas. 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de cuadros de 100 hojas para Taller de matemáticas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Cuadernillo hojas cuadriculadas prepicadas.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Cuadernillo papel milimetrado. 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Calculadora científica.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Útiles de geometría (regla, compás, transportador, etc)</w:t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HISTORIA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hanging="2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 Cuadernos universitarios de cuadros de 100 hojas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0" w:hanging="2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Lápices de colores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0" w:hanging="2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Papel diamante (bolsa tamaño oficio)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hanging="2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Tijeras y pegamento</w:t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CIENCIAS NATURALES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de cuadro de 100 hojas.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Delantal blanco para laboratorio</w:t>
      </w:r>
    </w:p>
    <w:p w:rsidR="00000000" w:rsidDel="00000000" w:rsidP="00000000" w:rsidRDefault="00000000" w:rsidRPr="00000000" w14:paraId="00000021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RELIGIÓN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cuadriculado 80 hojas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Biblia</w:t>
      </w:r>
    </w:p>
    <w:p w:rsidR="00000000" w:rsidDel="00000000" w:rsidP="00000000" w:rsidRDefault="00000000" w:rsidRPr="00000000" w14:paraId="00000025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de croquis 100 hojas 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adhesivo en barra de 36 grs.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tijera escolar  punta roma (*)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sacapuntas con depósito  (*)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plumón para pizarra para clase de Lenguaje y Matemáticas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Block médium° 99 1/8 (por semestre)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set acrílicos 12 o más colores (por semestre)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Plumón permanente para trabajos en clases (Afiches, Papelógrafos, etc)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Todos los materiales se solicitarán de acuerdo al plan de trabajo del Profesor.</w:t>
      </w:r>
    </w:p>
    <w:p w:rsidR="00000000" w:rsidDel="00000000" w:rsidP="00000000" w:rsidRDefault="00000000" w:rsidRPr="00000000" w14:paraId="00000031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TECNOLOGÍA</w:t>
      </w:r>
    </w:p>
    <w:p w:rsidR="00000000" w:rsidDel="00000000" w:rsidP="00000000" w:rsidRDefault="00000000" w:rsidRPr="00000000" w14:paraId="00000036">
      <w:pPr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de cuadros 100 hojas</w:t>
      </w:r>
    </w:p>
    <w:p w:rsidR="00000000" w:rsidDel="00000000" w:rsidP="00000000" w:rsidRDefault="00000000" w:rsidRPr="00000000" w14:paraId="00000038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Un cuaderno de cuadros de 100 hojas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de pauta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instrumento musical (de acuerdo a lo solicitado por el profesor en marzo)</w:t>
      </w:r>
    </w:p>
    <w:p w:rsidR="00000000" w:rsidDel="00000000" w:rsidP="00000000" w:rsidRDefault="00000000" w:rsidRPr="00000000" w14:paraId="0000003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cuadriculado de  60 hojas  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Buzo del colegio, de acuerdo a Manual de Convivencia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bolso con útiles de Aseo Personales (Toalla, Peineta, jabón, desodorante, etc)</w:t>
      </w:r>
    </w:p>
    <w:p w:rsidR="00000000" w:rsidDel="00000000" w:rsidP="00000000" w:rsidRDefault="00000000" w:rsidRPr="00000000" w14:paraId="00000042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ORIENTACIÓN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de cuadros de 60 hojas</w:t>
      </w:r>
    </w:p>
    <w:p w:rsidR="00000000" w:rsidDel="00000000" w:rsidP="00000000" w:rsidRDefault="00000000" w:rsidRPr="00000000" w14:paraId="00000046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UNIFORME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Uniforme Completo de acuerdo al Manual de Convivencia.</w:t>
      </w:r>
    </w:p>
    <w:p w:rsidR="00000000" w:rsidDel="00000000" w:rsidP="00000000" w:rsidRDefault="00000000" w:rsidRPr="00000000" w14:paraId="0000004A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El uso del delantal blanco es obligatorio para laboratorio de ciencias</w:t>
      </w:r>
    </w:p>
    <w:p w:rsidR="00000000" w:rsidDel="00000000" w:rsidP="00000000" w:rsidRDefault="00000000" w:rsidRPr="00000000" w14:paraId="0000004C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LIBRETA DE COMUNICACIONES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22222"/>
          <w:sz w:val="22"/>
          <w:szCs w:val="22"/>
          <w:highlight w:val="white"/>
          <w:rtl w:val="0"/>
        </w:rPr>
        <w:t xml:space="preserve">1 cuaderno de 100 hojas azul con forro transparente para comunicaciones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139700</wp:posOffset>
                </wp:positionV>
                <wp:extent cx="3002280" cy="157468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04850" y="2576047"/>
                          <a:ext cx="3282300" cy="17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-Los útiles escolares, el uniforme oficial y de Educación Física  deben estar marcados con el nombre del alumno.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--El uniforme es obligatorio según lo indica el Manual de Convivencia Interna.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139700</wp:posOffset>
                </wp:positionV>
                <wp:extent cx="3002280" cy="1574683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280" cy="15746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20163" w:w="12242" w:orient="portrait"/>
      <w:pgMar w:bottom="1077" w:top="902" w:left="1083" w:right="964" w:header="709" w:footer="1032"/>
      <w:pgNumType w:start="1"/>
      <w:cols w:equalWidth="0" w:num="2">
        <w:col w:space="709" w:w="4743.000000000001"/>
        <w:col w:space="0" w:w="4743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Jim Nightshade">
    <w:embedRegular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Jim Nightshade" w:cs="Jim Nightshade" w:eastAsia="Jim Nightshade" w:hAnsi="Jim Nightshade"/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172200" cy="3175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9425" y="378000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172200" cy="31750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Arial Narrow" w:cs="Arial Narrow" w:eastAsia="Arial Narrow" w:hAnsi="Arial Narrow"/>
        <w:color w:val="000000"/>
      </w:rPr>
    </w:pPr>
    <w:r w:rsidDel="00000000" w:rsidR="00000000" w:rsidRPr="00000000">
      <w:rPr>
        <w:rFonts w:ascii="Jim Nightshade" w:cs="Jim Nightshade" w:eastAsia="Jim Nightshade" w:hAnsi="Jim Nightshade"/>
        <w:b w:val="1"/>
        <w:color w:val="000000"/>
        <w:sz w:val="16"/>
        <w:szCs w:val="16"/>
        <w:rtl w:val="0"/>
      </w:rPr>
      <w:t xml:space="preserve">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Chacabuco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#660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Quillota, Fono – Fax: (33)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317820 –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(33)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265244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, email: </w:t>
    </w:r>
    <w:hyperlink r:id="rId2">
      <w:r w:rsidDel="00000000" w:rsidR="00000000" w:rsidRPr="00000000">
        <w:rPr>
          <w:rFonts w:ascii="Arial Narrow" w:cs="Arial Narrow" w:eastAsia="Arial Narrow" w:hAnsi="Arial Narrow"/>
          <w:b w:val="1"/>
          <w:color w:val="1155cc"/>
          <w:sz w:val="16"/>
          <w:szCs w:val="16"/>
          <w:u w:val="single"/>
          <w:rtl w:val="0"/>
        </w:rPr>
        <w:t xml:space="preserve">ccristianoquillota@gmail.com</w:t>
      </w:r>
    </w:hyperlink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    Página Web:   </w:t>
    </w:r>
    <w:hyperlink r:id="rId3">
      <w:r w:rsidDel="00000000" w:rsidR="00000000" w:rsidRPr="00000000">
        <w:rPr>
          <w:rFonts w:ascii="Arial Narrow" w:cs="Arial Narrow" w:eastAsia="Arial Narrow" w:hAnsi="Arial Narrow"/>
          <w:b w:val="1"/>
          <w:color w:val="1155cc"/>
          <w:sz w:val="16"/>
          <w:szCs w:val="16"/>
          <w:u w:val="single"/>
          <w:rtl w:val="0"/>
        </w:rPr>
        <w:t xml:space="preserve">www.colegiocristianoquillota.com</w:t>
      </w:r>
    </w:hyperlink>
    <w:r w:rsidDel="00000000" w:rsidR="00000000" w:rsidRPr="00000000">
      <w:rPr>
        <w:rFonts w:ascii="Arial Narrow" w:cs="Arial Narrow" w:eastAsia="Arial Narrow" w:hAnsi="Arial Narrow"/>
        <w:b w:val="1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-292099</wp:posOffset>
              </wp:positionV>
              <wp:extent cx="3792855" cy="381187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63860" y="3608550"/>
                        <a:ext cx="3764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0"/>
                              <w:vertAlign w:val="baseline"/>
                            </w:rPr>
                            <w:t xml:space="preserve">COLEGIO CRISTIANO QUILLOTA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  <w:t xml:space="preserve"> - 2024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-292099</wp:posOffset>
              </wp:positionV>
              <wp:extent cx="3792855" cy="381187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2855" cy="3811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4813935</wp:posOffset>
          </wp:positionH>
          <wp:positionV relativeFrom="paragraph">
            <wp:posOffset>-334642</wp:posOffset>
          </wp:positionV>
          <wp:extent cx="2087880" cy="47879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-424812</wp:posOffset>
          </wp:positionH>
          <wp:positionV relativeFrom="paragraph">
            <wp:posOffset>-410840</wp:posOffset>
          </wp:positionV>
          <wp:extent cx="571500" cy="676275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JimNightshade-regular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ccristianoquillota@gmail.com" TargetMode="External"/><Relationship Id="rId3" Type="http://schemas.openxmlformats.org/officeDocument/2006/relationships/hyperlink" Target="http://www.colegiocristianoquillota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rYdc9gBvjDJrZjuAy/I8/qgU/A==">CgMxLjAyCGguZ2pkZ3hzOAByITFoa0VBa2w4Mk5FOGRDREUwSktlUzdRRnZzTGRzaWt0Yg==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